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C2A67" w14:textId="77777777" w:rsidR="008C1095" w:rsidRPr="009F1F22" w:rsidRDefault="008C1095">
      <w:pPr>
        <w:pStyle w:val="Default"/>
        <w:spacing w:before="100" w:beforeAutospacing="1" w:after="100" w:afterAutospacing="1" w:line="23" w:lineRule="atLeast"/>
        <w:rPr>
          <w:color w:val="auto"/>
        </w:rPr>
      </w:pPr>
      <w:bookmarkStart w:id="0" w:name="_GoBack"/>
      <w:bookmarkEnd w:id="0"/>
    </w:p>
    <w:tbl>
      <w:tblPr>
        <w:tblStyle w:val="Saretaduntaula"/>
        <w:tblW w:w="0" w:type="auto"/>
        <w:tblLook w:val="04A0" w:firstRow="1" w:lastRow="0" w:firstColumn="1" w:lastColumn="0" w:noHBand="0" w:noVBand="1"/>
      </w:tblPr>
      <w:tblGrid>
        <w:gridCol w:w="8494"/>
      </w:tblGrid>
      <w:tr w:rsidR="008C1095" w:rsidRPr="009F1F22" w14:paraId="2AD17629" w14:textId="77777777">
        <w:tc>
          <w:tcPr>
            <w:tcW w:w="8644" w:type="dxa"/>
            <w:shd w:val="clear" w:color="auto" w:fill="DAEEF3" w:themeFill="accent5" w:themeFillTint="33"/>
          </w:tcPr>
          <w:p w14:paraId="670397EB" w14:textId="77777777" w:rsidR="008C1095" w:rsidRPr="009F1F22" w:rsidRDefault="008C1095">
            <w:pPr>
              <w:pStyle w:val="Default"/>
              <w:spacing w:before="100" w:beforeAutospacing="1" w:after="100" w:afterAutospacing="1" w:line="23" w:lineRule="atLeast"/>
              <w:rPr>
                <w:b/>
                <w:color w:val="auto"/>
              </w:rPr>
            </w:pPr>
          </w:p>
          <w:p w14:paraId="0FE7FECC" w14:textId="77777777" w:rsidR="008C1095" w:rsidRPr="009F1F22" w:rsidRDefault="00232D8C">
            <w:pPr>
              <w:spacing w:before="100" w:beforeAutospacing="1" w:after="100" w:afterAutospacing="1" w:line="23" w:lineRule="atLeast"/>
              <w:jc w:val="center"/>
              <w:rPr>
                <w:rFonts w:ascii="Arial" w:hAnsi="Arial" w:cs="Arial"/>
                <w:b/>
                <w:sz w:val="24"/>
                <w:szCs w:val="24"/>
              </w:rPr>
            </w:pPr>
            <w:r>
              <w:rPr>
                <w:rFonts w:ascii="Arial" w:hAnsi="Arial" w:cs="Arial"/>
                <w:b/>
                <w:sz w:val="24"/>
                <w:szCs w:val="24"/>
              </w:rPr>
              <w:t>KANPOAN DEN EUSKAL KOMUNITATEAREN</w:t>
            </w:r>
            <w:r w:rsidR="00225DA9" w:rsidRPr="009F1F22">
              <w:rPr>
                <w:rFonts w:ascii="Arial" w:hAnsi="Arial" w:cs="Arial"/>
                <w:b/>
                <w:sz w:val="24"/>
                <w:szCs w:val="24"/>
              </w:rPr>
              <w:t xml:space="preserve"> </w:t>
            </w:r>
            <w:r w:rsidR="005671D2" w:rsidRPr="009F1F22">
              <w:rPr>
                <w:rFonts w:ascii="Arial" w:hAnsi="Arial" w:cs="Arial"/>
                <w:b/>
                <w:sz w:val="24"/>
                <w:szCs w:val="24"/>
              </w:rPr>
              <w:t>LEGE</w:t>
            </w:r>
            <w:r w:rsidR="00B54329">
              <w:rPr>
                <w:rFonts w:ascii="Arial" w:hAnsi="Arial" w:cs="Arial"/>
                <w:b/>
                <w:sz w:val="24"/>
                <w:szCs w:val="24"/>
              </w:rPr>
              <w:t>-</w:t>
            </w:r>
            <w:r w:rsidR="005671D2" w:rsidRPr="009F1F22">
              <w:rPr>
                <w:rFonts w:ascii="Arial" w:hAnsi="Arial" w:cs="Arial"/>
                <w:b/>
                <w:sz w:val="24"/>
                <w:szCs w:val="24"/>
              </w:rPr>
              <w:t>AURREPROIEKTUA</w:t>
            </w:r>
            <w:r w:rsidR="00B54329">
              <w:rPr>
                <w:rFonts w:ascii="Arial" w:hAnsi="Arial" w:cs="Arial"/>
                <w:b/>
                <w:sz w:val="24"/>
                <w:szCs w:val="24"/>
              </w:rPr>
              <w:t>REN</w:t>
            </w:r>
            <w:r w:rsidR="00225DA9" w:rsidRPr="009F1F22">
              <w:rPr>
                <w:rFonts w:ascii="Arial" w:hAnsi="Arial" w:cs="Arial"/>
                <w:b/>
                <w:sz w:val="24"/>
                <w:szCs w:val="24"/>
              </w:rPr>
              <w:t xml:space="preserve"> </w:t>
            </w:r>
            <w:r w:rsidR="00B54329">
              <w:rPr>
                <w:rFonts w:ascii="Arial" w:hAnsi="Arial" w:cs="Arial"/>
                <w:b/>
                <w:sz w:val="24"/>
                <w:szCs w:val="24"/>
              </w:rPr>
              <w:t>AURRETIAZKO</w:t>
            </w:r>
            <w:r w:rsidR="00225DA9" w:rsidRPr="009F1F22">
              <w:rPr>
                <w:rFonts w:ascii="Arial" w:hAnsi="Arial" w:cs="Arial"/>
                <w:b/>
                <w:sz w:val="24"/>
                <w:szCs w:val="24"/>
              </w:rPr>
              <w:t xml:space="preserve"> KONTSULTA PUBLIKOA.</w:t>
            </w:r>
          </w:p>
          <w:p w14:paraId="52268537" w14:textId="77777777" w:rsidR="008C1095" w:rsidRPr="009F1F22" w:rsidRDefault="008C1095">
            <w:pPr>
              <w:spacing w:before="100" w:beforeAutospacing="1" w:after="100" w:afterAutospacing="1" w:line="23" w:lineRule="atLeast"/>
              <w:jc w:val="center"/>
              <w:rPr>
                <w:sz w:val="24"/>
                <w:szCs w:val="24"/>
              </w:rPr>
            </w:pPr>
          </w:p>
        </w:tc>
      </w:tr>
    </w:tbl>
    <w:p w14:paraId="40AEBAF1" w14:textId="77777777" w:rsidR="008C1095" w:rsidRPr="009F1F22" w:rsidRDefault="00225DA9">
      <w:pPr>
        <w:pStyle w:val="Default"/>
        <w:spacing w:before="100" w:beforeAutospacing="1" w:after="100" w:afterAutospacing="1" w:line="23" w:lineRule="atLeast"/>
        <w:jc w:val="both"/>
        <w:rPr>
          <w:rFonts w:ascii="Arial" w:eastAsia="Times New Roman" w:hAnsi="Arial" w:cs="Arial"/>
          <w:color w:val="auto"/>
        </w:rPr>
      </w:pPr>
      <w:r w:rsidRPr="009F1F22">
        <w:rPr>
          <w:rFonts w:ascii="Arial" w:eastAsia="Times New Roman" w:hAnsi="Arial" w:cs="Arial"/>
          <w:color w:val="auto"/>
        </w:rPr>
        <w:t>Administrazio Publikoen Administrazio Prozedura Erkidearen urriaren 1eko 39/2015 Legearen 133.1 artikuluan aurreikusitakoa betez, aurretiazko kontsulta honen helburua da etorkizuneko arauak uki ditzakeen pertsona eta erakunde adierazgarrienen iritzia jasotzea honako hauei buruz:</w:t>
      </w:r>
    </w:p>
    <w:p w14:paraId="0A46844C" w14:textId="77777777" w:rsidR="008C1095" w:rsidRPr="009F1F22" w:rsidRDefault="00225DA9">
      <w:pPr>
        <w:pStyle w:val="Default"/>
        <w:spacing w:before="100" w:beforeAutospacing="1" w:after="100" w:afterAutospacing="1" w:line="23" w:lineRule="atLeast"/>
        <w:ind w:left="709"/>
        <w:rPr>
          <w:rFonts w:ascii="Arial" w:eastAsia="Times New Roman" w:hAnsi="Arial" w:cs="Arial"/>
          <w:color w:val="auto"/>
        </w:rPr>
      </w:pPr>
      <w:r w:rsidRPr="009F1F22">
        <w:rPr>
          <w:rFonts w:ascii="Arial" w:eastAsia="Times New Roman" w:hAnsi="Arial" w:cs="Arial"/>
          <w:color w:val="auto"/>
        </w:rPr>
        <w:t>• Ekimenarekin konpondu nahi diren arazoak</w:t>
      </w:r>
    </w:p>
    <w:p w14:paraId="4E4E1BCB" w14:textId="77777777" w:rsidR="008C1095" w:rsidRPr="009F1F22" w:rsidRDefault="00225DA9">
      <w:pPr>
        <w:pStyle w:val="Default"/>
        <w:spacing w:before="100" w:beforeAutospacing="1" w:after="100" w:afterAutospacing="1" w:line="23" w:lineRule="atLeast"/>
        <w:ind w:left="709"/>
        <w:rPr>
          <w:rFonts w:ascii="Arial" w:eastAsia="Times New Roman" w:hAnsi="Arial" w:cs="Arial"/>
          <w:color w:val="auto"/>
        </w:rPr>
      </w:pPr>
      <w:r w:rsidRPr="009F1F22">
        <w:rPr>
          <w:rFonts w:ascii="Arial" w:eastAsia="Times New Roman" w:hAnsi="Arial" w:cs="Arial"/>
          <w:color w:val="auto"/>
        </w:rPr>
        <w:t>• Onartzeko beharra eta egokitasuna</w:t>
      </w:r>
    </w:p>
    <w:p w14:paraId="258D1FD4" w14:textId="77777777" w:rsidR="008C1095" w:rsidRPr="009F1F22" w:rsidRDefault="00225DA9">
      <w:pPr>
        <w:pStyle w:val="Default"/>
        <w:spacing w:before="100" w:beforeAutospacing="1" w:after="100" w:afterAutospacing="1" w:line="23" w:lineRule="atLeast"/>
        <w:ind w:left="709"/>
        <w:rPr>
          <w:rFonts w:ascii="Arial" w:eastAsia="Times New Roman" w:hAnsi="Arial" w:cs="Arial"/>
          <w:color w:val="auto"/>
        </w:rPr>
      </w:pPr>
      <w:r w:rsidRPr="009F1F22">
        <w:rPr>
          <w:rFonts w:ascii="Arial" w:eastAsia="Times New Roman" w:hAnsi="Arial" w:cs="Arial"/>
          <w:color w:val="auto"/>
        </w:rPr>
        <w:t>• Arauaren helburua</w:t>
      </w:r>
    </w:p>
    <w:p w14:paraId="320ABCC4" w14:textId="77777777" w:rsidR="008C1095" w:rsidRPr="009F1F22" w:rsidRDefault="00225DA9">
      <w:pPr>
        <w:pStyle w:val="Default"/>
        <w:spacing w:before="100" w:beforeAutospacing="1" w:after="100" w:afterAutospacing="1" w:line="23" w:lineRule="atLeast"/>
        <w:ind w:left="709"/>
        <w:rPr>
          <w:rFonts w:ascii="Arial" w:eastAsia="Times New Roman" w:hAnsi="Arial" w:cs="Arial"/>
          <w:color w:val="auto"/>
        </w:rPr>
      </w:pPr>
      <w:r w:rsidRPr="009F1F22">
        <w:rPr>
          <w:rFonts w:ascii="Arial" w:eastAsia="Times New Roman" w:hAnsi="Arial" w:cs="Arial"/>
          <w:color w:val="auto"/>
        </w:rPr>
        <w:t>• Izan daitezkeen bestelako aukera erregulatzaileak eta ez-erregulatzaileak</w:t>
      </w:r>
    </w:p>
    <w:tbl>
      <w:tblPr>
        <w:tblStyle w:val="Saretaduntaula"/>
        <w:tblpPr w:leftFromText="141" w:rightFromText="141" w:vertAnchor="text" w:horzAnchor="margin" w:tblpY="67"/>
        <w:tblW w:w="8499" w:type="dxa"/>
        <w:tblLook w:val="04A0" w:firstRow="1" w:lastRow="0" w:firstColumn="1" w:lastColumn="0" w:noHBand="0" w:noVBand="1"/>
      </w:tblPr>
      <w:tblGrid>
        <w:gridCol w:w="2031"/>
        <w:gridCol w:w="6468"/>
      </w:tblGrid>
      <w:tr w:rsidR="008C1095" w:rsidRPr="009F1F22" w14:paraId="4F6A8210" w14:textId="77777777" w:rsidTr="009F1F22">
        <w:trPr>
          <w:trHeight w:val="841"/>
        </w:trPr>
        <w:tc>
          <w:tcPr>
            <w:tcW w:w="1843" w:type="dxa"/>
            <w:shd w:val="clear" w:color="auto" w:fill="DAEEF3" w:themeFill="accent5" w:themeFillTint="33"/>
          </w:tcPr>
          <w:p w14:paraId="60F8803F" w14:textId="77777777" w:rsidR="008C1095" w:rsidRPr="009F1F22" w:rsidRDefault="00225DA9">
            <w:pPr>
              <w:pStyle w:val="Default"/>
              <w:spacing w:line="276" w:lineRule="auto"/>
              <w:rPr>
                <w:rFonts w:ascii="Arial" w:eastAsia="Times New Roman" w:hAnsi="Arial" w:cs="Arial"/>
                <w:b/>
                <w:color w:val="auto"/>
              </w:rPr>
            </w:pPr>
            <w:r w:rsidRPr="009F1F22">
              <w:rPr>
                <w:rFonts w:ascii="Arial" w:eastAsia="Times New Roman" w:hAnsi="Arial" w:cs="Arial"/>
                <w:b/>
                <w:color w:val="auto"/>
              </w:rPr>
              <w:t>Konpondu nahi diren arazoak</w:t>
            </w:r>
          </w:p>
        </w:tc>
        <w:tc>
          <w:tcPr>
            <w:tcW w:w="6656" w:type="dxa"/>
            <w:shd w:val="clear" w:color="auto" w:fill="D6E3BC" w:themeFill="accent3" w:themeFillTint="66"/>
          </w:tcPr>
          <w:p w14:paraId="385CD0F2" w14:textId="77777777" w:rsidR="000E0B63" w:rsidRPr="009F1F22" w:rsidRDefault="000E0B63" w:rsidP="005671D2">
            <w:pPr>
              <w:pStyle w:val="Default"/>
              <w:spacing w:line="276" w:lineRule="auto"/>
              <w:jc w:val="both"/>
              <w:rPr>
                <w:rFonts w:ascii="Arial" w:eastAsia="Times New Roman" w:hAnsi="Arial" w:cs="Arial"/>
                <w:color w:val="auto"/>
              </w:rPr>
            </w:pPr>
            <w:r w:rsidRPr="009F1F22">
              <w:rPr>
                <w:rFonts w:ascii="Arial" w:eastAsia="Times New Roman" w:hAnsi="Arial" w:cs="Arial"/>
                <w:color w:val="auto"/>
              </w:rPr>
              <w:t>1994an, maiatzaren 27ko 8/1994 Legea, Euskal Autonomia Erkidegotik kanpoko euskal kolektibitate eta zentroekiko harremanei buruzkoa, onartu zen. Onartu zenean euskal etxeen errealitatearen egoera sozial, kultural</w:t>
            </w:r>
            <w:r w:rsidR="00913E98">
              <w:rPr>
                <w:rFonts w:ascii="Arial" w:eastAsia="Times New Roman" w:hAnsi="Arial" w:cs="Arial"/>
                <w:color w:val="auto"/>
              </w:rPr>
              <w:t xml:space="preserve"> eta ekonomikoari erantzun dio l</w:t>
            </w:r>
            <w:r w:rsidRPr="009F1F22">
              <w:rPr>
                <w:rFonts w:ascii="Arial" w:eastAsia="Times New Roman" w:hAnsi="Arial" w:cs="Arial"/>
                <w:color w:val="auto"/>
              </w:rPr>
              <w:t>ege honek.</w:t>
            </w:r>
          </w:p>
          <w:p w14:paraId="5BC8A882" w14:textId="77777777" w:rsidR="000E0B63" w:rsidRPr="009F1F22" w:rsidRDefault="000E0B63" w:rsidP="005671D2">
            <w:pPr>
              <w:pStyle w:val="Default"/>
              <w:spacing w:line="276" w:lineRule="auto"/>
              <w:jc w:val="both"/>
              <w:rPr>
                <w:rFonts w:ascii="Arial" w:eastAsia="Times New Roman" w:hAnsi="Arial" w:cs="Arial"/>
                <w:color w:val="auto"/>
              </w:rPr>
            </w:pPr>
            <w:r w:rsidRPr="009F1F22">
              <w:rPr>
                <w:rFonts w:ascii="Arial" w:eastAsia="Times New Roman" w:hAnsi="Arial" w:cs="Arial"/>
                <w:color w:val="auto"/>
              </w:rPr>
              <w:t xml:space="preserve">Gaur egun, lege hau indarrean egon zenetik 27 urte igaro ostean, atzerrian dauden euskal gizon-emakumeen elkartze eta harreman ereduak aldatu dira; nazioarteko mugikortasunak eta teknologia berriek </w:t>
            </w:r>
            <w:proofErr w:type="spellStart"/>
            <w:r w:rsidRPr="009F1F22">
              <w:rPr>
                <w:rFonts w:ascii="Arial" w:eastAsia="Times New Roman" w:hAnsi="Arial" w:cs="Arial"/>
                <w:color w:val="auto"/>
              </w:rPr>
              <w:t>esponentzialki</w:t>
            </w:r>
            <w:proofErr w:type="spellEnd"/>
            <w:r w:rsidRPr="009F1F22">
              <w:rPr>
                <w:rFonts w:ascii="Arial" w:eastAsia="Times New Roman" w:hAnsi="Arial" w:cs="Arial"/>
                <w:color w:val="auto"/>
              </w:rPr>
              <w:t xml:space="preserve"> eboluzionatu dute; bestelakoak dira egungo euskal emigrazioaren motibazio eta helmugak; euskal etxeen eta kanpoan dauden euskal herritarren beharrizanek erantzun berriak eskatzen dituzte. Eta horrek guztiak, nazioarteko esparruan izandako aldaketei eta globalizazioak sortutako harremanen erronkei lotuta, arau-esparru berri bat eskatzen du. </w:t>
            </w:r>
          </w:p>
          <w:p w14:paraId="3BF55FD7" w14:textId="77777777" w:rsidR="008C1095" w:rsidRPr="009F1F22" w:rsidRDefault="000E0B63" w:rsidP="005671D2">
            <w:pPr>
              <w:pStyle w:val="Default"/>
              <w:spacing w:line="276" w:lineRule="auto"/>
              <w:jc w:val="both"/>
              <w:rPr>
                <w:rFonts w:ascii="Arial" w:eastAsia="Times New Roman" w:hAnsi="Arial" w:cs="Arial"/>
                <w:color w:val="auto"/>
              </w:rPr>
            </w:pPr>
            <w:r w:rsidRPr="009F1F22">
              <w:rPr>
                <w:rFonts w:ascii="Arial" w:eastAsia="Times New Roman" w:hAnsi="Arial" w:cs="Arial"/>
                <w:color w:val="auto"/>
              </w:rPr>
              <w:t>Garatzen ari diren eta epe ertain eta luzea</w:t>
            </w:r>
            <w:r w:rsidR="00913E98">
              <w:rPr>
                <w:rFonts w:ascii="Arial" w:eastAsia="Times New Roman" w:hAnsi="Arial" w:cs="Arial"/>
                <w:color w:val="auto"/>
              </w:rPr>
              <w:t>n</w:t>
            </w:r>
            <w:r w:rsidRPr="009F1F22">
              <w:rPr>
                <w:rFonts w:ascii="Arial" w:eastAsia="Times New Roman" w:hAnsi="Arial" w:cs="Arial"/>
                <w:color w:val="auto"/>
              </w:rPr>
              <w:t xml:space="preserve"> antzeman daitezkeen aldaketa hauen jakitun, kanpoan dagoen euskal komunitatearen errealitatearekin bat etorriko den araudi berri bat jorratzea da orain</w:t>
            </w:r>
            <w:r w:rsidR="00913E98">
              <w:rPr>
                <w:rFonts w:ascii="Arial" w:eastAsia="Times New Roman" w:hAnsi="Arial" w:cs="Arial"/>
                <w:color w:val="auto"/>
              </w:rPr>
              <w:t>go asmoa</w:t>
            </w:r>
            <w:r w:rsidRPr="009F1F22">
              <w:rPr>
                <w:rFonts w:ascii="Arial" w:eastAsia="Times New Roman" w:hAnsi="Arial" w:cs="Arial"/>
                <w:color w:val="auto"/>
              </w:rPr>
              <w:t xml:space="preserve">. Errealitate bat, mundu globalizatu batean, euskal diaspora handi bat osatu duena, 94ko Legean jorratzen direnen ezaugarri, behar eta </w:t>
            </w:r>
            <w:r w:rsidRPr="009F1F22">
              <w:rPr>
                <w:rFonts w:ascii="Arial" w:eastAsia="Times New Roman" w:hAnsi="Arial" w:cs="Arial"/>
                <w:color w:val="auto"/>
              </w:rPr>
              <w:lastRenderedPageBreak/>
              <w:t>itxaropen oso desberdinak dituena, eta araudi berri honek era</w:t>
            </w:r>
            <w:r w:rsidR="009F1F22">
              <w:rPr>
                <w:rFonts w:ascii="Arial" w:eastAsia="Times New Roman" w:hAnsi="Arial" w:cs="Arial"/>
                <w:color w:val="auto"/>
              </w:rPr>
              <w:t>ntzuten saiatzen dena.</w:t>
            </w:r>
          </w:p>
        </w:tc>
      </w:tr>
      <w:tr w:rsidR="008C1095" w:rsidRPr="009F1F22" w14:paraId="19314549" w14:textId="77777777">
        <w:trPr>
          <w:trHeight w:val="1003"/>
        </w:trPr>
        <w:tc>
          <w:tcPr>
            <w:tcW w:w="1843" w:type="dxa"/>
            <w:shd w:val="clear" w:color="auto" w:fill="DAEEF3" w:themeFill="accent5" w:themeFillTint="33"/>
          </w:tcPr>
          <w:p w14:paraId="440C7A2D" w14:textId="77777777" w:rsidR="008C1095" w:rsidRPr="009F1F22" w:rsidRDefault="00225DA9">
            <w:pPr>
              <w:pStyle w:val="Default"/>
              <w:spacing w:line="276" w:lineRule="auto"/>
              <w:rPr>
                <w:rFonts w:ascii="Arial" w:eastAsia="Times New Roman" w:hAnsi="Arial" w:cs="Arial"/>
                <w:b/>
                <w:color w:val="auto"/>
              </w:rPr>
            </w:pPr>
            <w:r w:rsidRPr="009F1F22">
              <w:rPr>
                <w:rFonts w:ascii="Arial" w:eastAsia="Times New Roman" w:hAnsi="Arial" w:cs="Arial"/>
                <w:b/>
                <w:color w:val="auto"/>
              </w:rPr>
              <w:lastRenderedPageBreak/>
              <w:t>Onartzeko beharra eta egokitasuna</w:t>
            </w:r>
          </w:p>
        </w:tc>
        <w:tc>
          <w:tcPr>
            <w:tcW w:w="6656" w:type="dxa"/>
            <w:shd w:val="clear" w:color="auto" w:fill="D6E3BC" w:themeFill="accent3" w:themeFillTint="66"/>
          </w:tcPr>
          <w:p w14:paraId="2DB7EC70" w14:textId="77777777" w:rsidR="000E0B63" w:rsidRPr="009F1F22" w:rsidRDefault="000E0B63" w:rsidP="005671D2">
            <w:pPr>
              <w:jc w:val="both"/>
              <w:rPr>
                <w:rFonts w:ascii="Arial" w:eastAsia="Times New Roman" w:hAnsi="Arial" w:cs="Arial"/>
                <w:sz w:val="24"/>
                <w:szCs w:val="24"/>
              </w:rPr>
            </w:pPr>
            <w:r w:rsidRPr="009F1F22">
              <w:rPr>
                <w:rFonts w:ascii="Arial" w:eastAsia="Times New Roman" w:hAnsi="Arial" w:cs="Arial"/>
                <w:sz w:val="24"/>
                <w:szCs w:val="24"/>
              </w:rPr>
              <w:t xml:space="preserve">Testuinguru historiko, sozial, kultural eta juridiko berri bat beharrezkoa da, jardun-esparrua </w:t>
            </w:r>
            <w:proofErr w:type="spellStart"/>
            <w:r w:rsidRPr="009F1F22">
              <w:rPr>
                <w:rFonts w:ascii="Arial" w:eastAsia="Times New Roman" w:hAnsi="Arial" w:cs="Arial"/>
                <w:sz w:val="24"/>
                <w:szCs w:val="24"/>
              </w:rPr>
              <w:t>dimentsionatzea</w:t>
            </w:r>
            <w:proofErr w:type="spellEnd"/>
            <w:r w:rsidRPr="009F1F22">
              <w:rPr>
                <w:rFonts w:ascii="Arial" w:eastAsia="Times New Roman" w:hAnsi="Arial" w:cs="Arial"/>
                <w:sz w:val="24"/>
                <w:szCs w:val="24"/>
              </w:rPr>
              <w:t xml:space="preserve"> ahalbidetuko duena, baita atzerrian dauden eu</w:t>
            </w:r>
            <w:r w:rsidR="00B54329">
              <w:rPr>
                <w:rFonts w:ascii="Arial" w:eastAsia="Times New Roman" w:hAnsi="Arial" w:cs="Arial"/>
                <w:sz w:val="24"/>
                <w:szCs w:val="24"/>
              </w:rPr>
              <w:t>s</w:t>
            </w:r>
            <w:r w:rsidRPr="009F1F22">
              <w:rPr>
                <w:rFonts w:ascii="Arial" w:eastAsia="Times New Roman" w:hAnsi="Arial" w:cs="Arial"/>
                <w:sz w:val="24"/>
                <w:szCs w:val="24"/>
              </w:rPr>
              <w:t>kal gizon-em</w:t>
            </w:r>
            <w:r w:rsidR="00B54329">
              <w:rPr>
                <w:rFonts w:ascii="Arial" w:eastAsia="Times New Roman" w:hAnsi="Arial" w:cs="Arial"/>
                <w:sz w:val="24"/>
                <w:szCs w:val="24"/>
              </w:rPr>
              <w:t>a</w:t>
            </w:r>
            <w:r w:rsidRPr="009F1F22">
              <w:rPr>
                <w:rFonts w:ascii="Arial" w:eastAsia="Times New Roman" w:hAnsi="Arial" w:cs="Arial"/>
                <w:sz w:val="24"/>
                <w:szCs w:val="24"/>
              </w:rPr>
              <w:t>kumeen errealitate berriei babes juridikoa ematea ere.</w:t>
            </w:r>
          </w:p>
          <w:p w14:paraId="03F6413C" w14:textId="77777777" w:rsidR="008C1095" w:rsidRPr="009F1F22" w:rsidRDefault="000E0B63" w:rsidP="005671D2">
            <w:pPr>
              <w:jc w:val="both"/>
              <w:rPr>
                <w:rFonts w:ascii="Arial" w:eastAsia="Times New Roman" w:hAnsi="Arial" w:cs="Arial"/>
                <w:sz w:val="24"/>
                <w:szCs w:val="24"/>
              </w:rPr>
            </w:pPr>
            <w:r w:rsidRPr="009F1F22">
              <w:rPr>
                <w:rFonts w:ascii="Arial" w:eastAsia="Times New Roman" w:hAnsi="Arial" w:cs="Arial"/>
                <w:sz w:val="24"/>
                <w:szCs w:val="24"/>
              </w:rPr>
              <w:t>Euskadin ibilbide sendoa dugu euskal etxeekin harremanetan, 1994an momentuko beharrei erantzun genien etorkizunari begira. Eta orain egungo araudiaren mugak gainditzea eta egungo egoera sozial, kultural eta ekonomikoari etorkizuneko aurreikuspenekin erantzuten dioten potentzialtasunak aktibatzea da.</w:t>
            </w:r>
          </w:p>
        </w:tc>
      </w:tr>
      <w:tr w:rsidR="008C1095" w:rsidRPr="009F1F22" w14:paraId="473C3CE5" w14:textId="77777777">
        <w:trPr>
          <w:trHeight w:val="2380"/>
        </w:trPr>
        <w:tc>
          <w:tcPr>
            <w:tcW w:w="1843" w:type="dxa"/>
            <w:shd w:val="clear" w:color="auto" w:fill="DAEEF3" w:themeFill="accent5" w:themeFillTint="33"/>
          </w:tcPr>
          <w:p w14:paraId="123BB4A0" w14:textId="77777777" w:rsidR="008C1095" w:rsidRPr="009F1F22" w:rsidRDefault="00225DA9">
            <w:pPr>
              <w:pStyle w:val="Default"/>
              <w:spacing w:line="276" w:lineRule="auto"/>
              <w:rPr>
                <w:rFonts w:ascii="Arial" w:eastAsia="Times New Roman" w:hAnsi="Arial" w:cs="Arial"/>
                <w:color w:val="auto"/>
              </w:rPr>
            </w:pPr>
            <w:r w:rsidRPr="009F1F22">
              <w:rPr>
                <w:rFonts w:ascii="Arial" w:eastAsia="Times New Roman" w:hAnsi="Arial" w:cs="Arial"/>
                <w:b/>
                <w:color w:val="auto"/>
              </w:rPr>
              <w:t>Arauaren helburuak</w:t>
            </w:r>
          </w:p>
        </w:tc>
        <w:tc>
          <w:tcPr>
            <w:tcW w:w="6656" w:type="dxa"/>
            <w:shd w:val="clear" w:color="auto" w:fill="D6E3BC" w:themeFill="accent3" w:themeFillTint="66"/>
          </w:tcPr>
          <w:p w14:paraId="178D0CF5" w14:textId="77777777" w:rsidR="008C1095" w:rsidRPr="009F1F22" w:rsidRDefault="00232D8C" w:rsidP="005671D2">
            <w:pPr>
              <w:jc w:val="both"/>
              <w:rPr>
                <w:rFonts w:ascii="Arial" w:eastAsia="Times New Roman" w:hAnsi="Arial" w:cs="Arial"/>
                <w:sz w:val="24"/>
                <w:szCs w:val="24"/>
              </w:rPr>
            </w:pPr>
            <w:r>
              <w:rPr>
                <w:rFonts w:ascii="Arial" w:eastAsia="Times New Roman" w:hAnsi="Arial" w:cs="Arial"/>
                <w:sz w:val="24"/>
                <w:szCs w:val="24"/>
              </w:rPr>
              <w:t>Urteek aurrera egin ahala eta gizartearekin batera aldatuz joan den euskal komunitatearen errealitate berriari estaldura ematea da arauaren helburua.</w:t>
            </w:r>
          </w:p>
          <w:p w14:paraId="1936DAA3"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Honako hauek dira arautu nahi diren oinarrizko helburuak:</w:t>
            </w:r>
          </w:p>
          <w:p w14:paraId="686E6B91"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 xml:space="preserve">1.- Kanpoko euskal komunitatea, errealitate ezberdinen kontzeptu integratzaile gisa. </w:t>
            </w:r>
          </w:p>
          <w:p w14:paraId="6F217709"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 xml:space="preserve">2.- Atzerrian dauden euskal komunitateen inskripzioa. </w:t>
            </w:r>
          </w:p>
          <w:p w14:paraId="71E07A8B"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3.- Kanpoan dauden euskaldunen eskubideak eta onurak.</w:t>
            </w:r>
          </w:p>
          <w:p w14:paraId="4BCA2473"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4.- Kanpoko euskal komunitatearekin harremanetarako organoak.</w:t>
            </w:r>
          </w:p>
          <w:p w14:paraId="24E536A8"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5.- Euskal herritarren itzulera.</w:t>
            </w:r>
          </w:p>
          <w:p w14:paraId="086E8D92"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6.- Emakumeen eta gazteen papera euskal komunitatean.</w:t>
            </w:r>
          </w:p>
          <w:p w14:paraId="1439D8E8"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7.- Euskal Diasporaren eguna. Legez ezartzea.</w:t>
            </w:r>
          </w:p>
          <w:p w14:paraId="0A42FEF9" w14:textId="77777777" w:rsidR="009F1F22" w:rsidRPr="009F1F22" w:rsidRDefault="009F1F22" w:rsidP="005671D2">
            <w:pPr>
              <w:jc w:val="both"/>
              <w:rPr>
                <w:rFonts w:ascii="Arial" w:eastAsia="Times New Roman" w:hAnsi="Arial" w:cs="Arial"/>
                <w:sz w:val="24"/>
                <w:szCs w:val="24"/>
              </w:rPr>
            </w:pPr>
            <w:r w:rsidRPr="009F1F22">
              <w:rPr>
                <w:rFonts w:ascii="Arial" w:eastAsia="Times New Roman" w:hAnsi="Arial" w:cs="Arial"/>
                <w:sz w:val="24"/>
                <w:szCs w:val="24"/>
              </w:rPr>
              <w:t>8.- Euskal diasporaren kultur ondarea.</w:t>
            </w:r>
          </w:p>
        </w:tc>
      </w:tr>
      <w:tr w:rsidR="008C1095" w:rsidRPr="009F1F22" w14:paraId="3A3BE210" w14:textId="77777777">
        <w:trPr>
          <w:trHeight w:val="1376"/>
        </w:trPr>
        <w:tc>
          <w:tcPr>
            <w:tcW w:w="1843" w:type="dxa"/>
            <w:shd w:val="clear" w:color="auto" w:fill="DAEEF3" w:themeFill="accent5" w:themeFillTint="33"/>
          </w:tcPr>
          <w:p w14:paraId="6CF8FDFF" w14:textId="77777777" w:rsidR="008C1095" w:rsidRPr="009F1F22" w:rsidRDefault="00225DA9">
            <w:pPr>
              <w:pStyle w:val="Default"/>
              <w:spacing w:line="276" w:lineRule="auto"/>
              <w:rPr>
                <w:rFonts w:ascii="Arial" w:eastAsia="Times New Roman" w:hAnsi="Arial" w:cs="Arial"/>
                <w:b/>
                <w:color w:val="auto"/>
              </w:rPr>
            </w:pPr>
            <w:r w:rsidRPr="009F1F22">
              <w:rPr>
                <w:rFonts w:ascii="Arial" w:eastAsia="Times New Roman" w:hAnsi="Arial" w:cs="Arial"/>
                <w:b/>
                <w:color w:val="auto"/>
              </w:rPr>
              <w:t>Izan daitezkeen bestelako aukera erregulatzaileak eta ez-erregulatzaileak</w:t>
            </w:r>
          </w:p>
        </w:tc>
        <w:tc>
          <w:tcPr>
            <w:tcW w:w="6656" w:type="dxa"/>
            <w:shd w:val="clear" w:color="auto" w:fill="D6E3BC" w:themeFill="accent3" w:themeFillTint="66"/>
          </w:tcPr>
          <w:p w14:paraId="2735138D" w14:textId="77777777" w:rsidR="008C1095" w:rsidRPr="009F1F22" w:rsidRDefault="009F1F22" w:rsidP="00316D5D">
            <w:pPr>
              <w:pStyle w:val="Default"/>
              <w:spacing w:line="276" w:lineRule="auto"/>
              <w:jc w:val="both"/>
              <w:rPr>
                <w:rFonts w:ascii="Arial" w:eastAsia="Times New Roman" w:hAnsi="Arial" w:cs="Arial"/>
                <w:color w:val="auto"/>
              </w:rPr>
            </w:pPr>
            <w:r w:rsidRPr="009F1F22">
              <w:rPr>
                <w:rFonts w:ascii="Arial" w:eastAsia="Times New Roman" w:hAnsi="Arial" w:cs="Arial"/>
                <w:color w:val="auto"/>
              </w:rPr>
              <w:t>Lege berri bat onartzeari buruzkoa da, aurrekoa indargabetzen duena, eta lege erreserb</w:t>
            </w:r>
            <w:r w:rsidR="00B54329">
              <w:rPr>
                <w:rFonts w:ascii="Arial" w:eastAsia="Times New Roman" w:hAnsi="Arial" w:cs="Arial"/>
                <w:color w:val="auto"/>
              </w:rPr>
              <w:t xml:space="preserve">a behar duten neurriak </w:t>
            </w:r>
            <w:proofErr w:type="spellStart"/>
            <w:r w:rsidR="00B54329">
              <w:rPr>
                <w:rFonts w:ascii="Arial" w:eastAsia="Times New Roman" w:hAnsi="Arial" w:cs="Arial"/>
                <w:color w:val="auto"/>
              </w:rPr>
              <w:t>aurreikus</w:t>
            </w:r>
            <w:r w:rsidRPr="009F1F22">
              <w:rPr>
                <w:rFonts w:ascii="Arial" w:eastAsia="Times New Roman" w:hAnsi="Arial" w:cs="Arial"/>
                <w:color w:val="auto"/>
              </w:rPr>
              <w:t>ten</w:t>
            </w:r>
            <w:proofErr w:type="spellEnd"/>
            <w:r w:rsidRPr="009F1F22">
              <w:rPr>
                <w:rFonts w:ascii="Arial" w:eastAsia="Times New Roman" w:hAnsi="Arial" w:cs="Arial"/>
                <w:color w:val="auto"/>
              </w:rPr>
              <w:t xml:space="preserve"> dituena, horretarako egokia den arau berri bat egitea, beste irtenbide alternatiborik aurreikusi gabe.</w:t>
            </w:r>
          </w:p>
        </w:tc>
      </w:tr>
    </w:tbl>
    <w:p w14:paraId="265C517C" w14:textId="77777777" w:rsidR="008C1095" w:rsidRPr="009F1F22" w:rsidRDefault="008C1095">
      <w:pPr>
        <w:pStyle w:val="Default"/>
        <w:spacing w:before="100" w:beforeAutospacing="1" w:after="100" w:afterAutospacing="1" w:line="23" w:lineRule="atLeast"/>
        <w:rPr>
          <w:rFonts w:ascii="Arial" w:eastAsia="Times New Roman" w:hAnsi="Arial" w:cs="Arial"/>
          <w:b/>
          <w:color w:val="auto"/>
        </w:rPr>
      </w:pPr>
    </w:p>
    <w:sectPr w:rsidR="008C1095" w:rsidRPr="009F1F22">
      <w:headerReference w:type="default" r:id="rId10"/>
      <w:footerReference w:type="default" r:id="rId11"/>
      <w:head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CA8CB" w14:textId="77777777" w:rsidR="00434A03" w:rsidRDefault="00434A03">
      <w:pPr>
        <w:spacing w:after="0" w:line="240" w:lineRule="auto"/>
      </w:pPr>
      <w:r>
        <w:separator/>
      </w:r>
    </w:p>
  </w:endnote>
  <w:endnote w:type="continuationSeparator" w:id="0">
    <w:p w14:paraId="6C8BA060" w14:textId="77777777" w:rsidR="00434A03" w:rsidRDefault="0043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24913"/>
      <w:docPartObj>
        <w:docPartGallery w:val="Page Numbers (Bottom of Page)"/>
        <w:docPartUnique/>
      </w:docPartObj>
    </w:sdtPr>
    <w:sdtEndPr/>
    <w:sdtContent>
      <w:p w14:paraId="0ECEE205" w14:textId="77777777" w:rsidR="008C1095" w:rsidRDefault="00225DA9">
        <w:pPr>
          <w:pStyle w:val="Orri-oina"/>
          <w:jc w:val="right"/>
        </w:pPr>
        <w:r>
          <w:fldChar w:fldCharType="begin"/>
        </w:r>
        <w:r>
          <w:instrText>PAGE   \* MERGEFORMAT</w:instrText>
        </w:r>
        <w:r>
          <w:fldChar w:fldCharType="separate"/>
        </w:r>
        <w:r w:rsidR="00760E3F">
          <w:rPr>
            <w:noProof/>
          </w:rPr>
          <w:t>2</w:t>
        </w:r>
        <w:r>
          <w:fldChar w:fldCharType="end"/>
        </w:r>
      </w:p>
    </w:sdtContent>
  </w:sdt>
  <w:p w14:paraId="31C1819B" w14:textId="77777777" w:rsidR="008C1095" w:rsidRDefault="008C1095">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525E9" w14:textId="77777777" w:rsidR="00434A03" w:rsidRDefault="00434A03">
      <w:pPr>
        <w:spacing w:after="0" w:line="240" w:lineRule="auto"/>
      </w:pPr>
      <w:r>
        <w:separator/>
      </w:r>
    </w:p>
  </w:footnote>
  <w:footnote w:type="continuationSeparator" w:id="0">
    <w:p w14:paraId="77AFFDD0" w14:textId="77777777" w:rsidR="00434A03" w:rsidRDefault="0043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872F" w14:textId="77777777" w:rsidR="008C1095" w:rsidRDefault="00225DA9">
    <w:pPr>
      <w:pStyle w:val="Goiburua"/>
      <w:jc w:val="center"/>
    </w:pPr>
    <w:r>
      <w:object w:dxaOrig="11549" w:dyaOrig="1410" w14:anchorId="75DB8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4pt" filled="t">
          <v:fill color2="black"/>
          <v:imagedata r:id="rId1" o:title=""/>
        </v:shape>
        <o:OLEObject Type="Embed" ProgID="Imagen" ShapeID="_x0000_i1025" DrawAspect="Content" ObjectID="_1707809962" r:id="rId2"/>
      </w:object>
    </w:r>
  </w:p>
  <w:p w14:paraId="3E13E08E" w14:textId="77777777" w:rsidR="008C1095" w:rsidRDefault="008C1095">
    <w:pPr>
      <w:pStyle w:val="Goiburu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54D0" w14:textId="77777777" w:rsidR="008C1095" w:rsidRDefault="00225DA9">
    <w:pPr>
      <w:pStyle w:val="Goiburua"/>
      <w:jc w:val="center"/>
    </w:pPr>
    <w:r>
      <w:rPr>
        <w:rFonts w:ascii="Arial" w:hAnsi="Arial"/>
        <w:noProof/>
        <w:sz w:val="16"/>
        <w:lang w:val="eu-ES" w:eastAsia="eu-ES"/>
      </w:rPr>
      <w:drawing>
        <wp:inline distT="0" distB="0" distL="0" distR="0" wp14:anchorId="02A6D352" wp14:editId="55059A60">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7BA7B66E" w14:textId="77777777" w:rsidR="008C1095" w:rsidRDefault="008C1095">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2E2105"/>
    <w:multiLevelType w:val="hybridMultilevel"/>
    <w:tmpl w:val="04162C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1993"/>
    <w:rsid w:val="00037930"/>
    <w:rsid w:val="00053AE8"/>
    <w:rsid w:val="00064C0E"/>
    <w:rsid w:val="00071937"/>
    <w:rsid w:val="0008197A"/>
    <w:rsid w:val="00081E9B"/>
    <w:rsid w:val="000836C1"/>
    <w:rsid w:val="0008713E"/>
    <w:rsid w:val="000909B6"/>
    <w:rsid w:val="000940B9"/>
    <w:rsid w:val="000A24B6"/>
    <w:rsid w:val="000B7A1A"/>
    <w:rsid w:val="000C0FBB"/>
    <w:rsid w:val="000C4D19"/>
    <w:rsid w:val="000D120C"/>
    <w:rsid w:val="000D68BA"/>
    <w:rsid w:val="000E0B63"/>
    <w:rsid w:val="000E3878"/>
    <w:rsid w:val="000F5F30"/>
    <w:rsid w:val="00100DD6"/>
    <w:rsid w:val="00103799"/>
    <w:rsid w:val="00115E4A"/>
    <w:rsid w:val="0012092F"/>
    <w:rsid w:val="001278BF"/>
    <w:rsid w:val="00134028"/>
    <w:rsid w:val="001417DE"/>
    <w:rsid w:val="001639C4"/>
    <w:rsid w:val="001650A5"/>
    <w:rsid w:val="00170392"/>
    <w:rsid w:val="00173E41"/>
    <w:rsid w:val="00194C10"/>
    <w:rsid w:val="001B226C"/>
    <w:rsid w:val="001B3A1D"/>
    <w:rsid w:val="001B6414"/>
    <w:rsid w:val="001C5B58"/>
    <w:rsid w:val="001F5C15"/>
    <w:rsid w:val="001F7723"/>
    <w:rsid w:val="002050C5"/>
    <w:rsid w:val="00207EDF"/>
    <w:rsid w:val="00225DA9"/>
    <w:rsid w:val="00226A44"/>
    <w:rsid w:val="00232D8C"/>
    <w:rsid w:val="00237C97"/>
    <w:rsid w:val="0025576C"/>
    <w:rsid w:val="0026228C"/>
    <w:rsid w:val="0026764F"/>
    <w:rsid w:val="0026781D"/>
    <w:rsid w:val="002A0B87"/>
    <w:rsid w:val="002A1248"/>
    <w:rsid w:val="002B7CD5"/>
    <w:rsid w:val="002C632D"/>
    <w:rsid w:val="002D2675"/>
    <w:rsid w:val="00310CFB"/>
    <w:rsid w:val="00316D5D"/>
    <w:rsid w:val="00351A1E"/>
    <w:rsid w:val="00372081"/>
    <w:rsid w:val="00397C49"/>
    <w:rsid w:val="003E4076"/>
    <w:rsid w:val="00402102"/>
    <w:rsid w:val="004049AF"/>
    <w:rsid w:val="00405B9E"/>
    <w:rsid w:val="00425975"/>
    <w:rsid w:val="004266C7"/>
    <w:rsid w:val="00432603"/>
    <w:rsid w:val="00434A03"/>
    <w:rsid w:val="004B5349"/>
    <w:rsid w:val="004C36DB"/>
    <w:rsid w:val="004E0B46"/>
    <w:rsid w:val="004F079B"/>
    <w:rsid w:val="00501216"/>
    <w:rsid w:val="00513E23"/>
    <w:rsid w:val="00541F4A"/>
    <w:rsid w:val="00545E5B"/>
    <w:rsid w:val="00547545"/>
    <w:rsid w:val="00565C0D"/>
    <w:rsid w:val="005671D2"/>
    <w:rsid w:val="0058482E"/>
    <w:rsid w:val="0059124D"/>
    <w:rsid w:val="005913F4"/>
    <w:rsid w:val="005B5275"/>
    <w:rsid w:val="005E4F35"/>
    <w:rsid w:val="005F172F"/>
    <w:rsid w:val="006156B7"/>
    <w:rsid w:val="00632CD2"/>
    <w:rsid w:val="006654B7"/>
    <w:rsid w:val="00675414"/>
    <w:rsid w:val="00677419"/>
    <w:rsid w:val="006779F4"/>
    <w:rsid w:val="00690D14"/>
    <w:rsid w:val="006A7F7E"/>
    <w:rsid w:val="006B5E8E"/>
    <w:rsid w:val="006C0B59"/>
    <w:rsid w:val="006D47F0"/>
    <w:rsid w:val="006F435B"/>
    <w:rsid w:val="00725C35"/>
    <w:rsid w:val="007334EC"/>
    <w:rsid w:val="00755D6E"/>
    <w:rsid w:val="00757FF2"/>
    <w:rsid w:val="00760E3F"/>
    <w:rsid w:val="00791485"/>
    <w:rsid w:val="007D4228"/>
    <w:rsid w:val="007D4664"/>
    <w:rsid w:val="0080292C"/>
    <w:rsid w:val="00826CA1"/>
    <w:rsid w:val="00831DC8"/>
    <w:rsid w:val="00842276"/>
    <w:rsid w:val="00855AD0"/>
    <w:rsid w:val="00865035"/>
    <w:rsid w:val="00873F0D"/>
    <w:rsid w:val="00876954"/>
    <w:rsid w:val="008C1095"/>
    <w:rsid w:val="008C1F61"/>
    <w:rsid w:val="008D6281"/>
    <w:rsid w:val="00913E98"/>
    <w:rsid w:val="0092251C"/>
    <w:rsid w:val="009353B8"/>
    <w:rsid w:val="009362EC"/>
    <w:rsid w:val="00941016"/>
    <w:rsid w:val="009446AB"/>
    <w:rsid w:val="00946020"/>
    <w:rsid w:val="009A02B5"/>
    <w:rsid w:val="009A679B"/>
    <w:rsid w:val="009B5735"/>
    <w:rsid w:val="009C124C"/>
    <w:rsid w:val="009F1F22"/>
    <w:rsid w:val="00A14689"/>
    <w:rsid w:val="00A230EE"/>
    <w:rsid w:val="00A36EC7"/>
    <w:rsid w:val="00A47F79"/>
    <w:rsid w:val="00A5515D"/>
    <w:rsid w:val="00A5751E"/>
    <w:rsid w:val="00A674CB"/>
    <w:rsid w:val="00A8594C"/>
    <w:rsid w:val="00A906F1"/>
    <w:rsid w:val="00A91FF9"/>
    <w:rsid w:val="00AA1AB7"/>
    <w:rsid w:val="00AB01E1"/>
    <w:rsid w:val="00AC21E4"/>
    <w:rsid w:val="00AD4A44"/>
    <w:rsid w:val="00AE6383"/>
    <w:rsid w:val="00AF251A"/>
    <w:rsid w:val="00B235F6"/>
    <w:rsid w:val="00B54329"/>
    <w:rsid w:val="00B60F48"/>
    <w:rsid w:val="00B76F88"/>
    <w:rsid w:val="00B77EDC"/>
    <w:rsid w:val="00B84289"/>
    <w:rsid w:val="00B959A0"/>
    <w:rsid w:val="00BA7FC9"/>
    <w:rsid w:val="00BE5FD7"/>
    <w:rsid w:val="00BF4EA9"/>
    <w:rsid w:val="00C01BE6"/>
    <w:rsid w:val="00C122FE"/>
    <w:rsid w:val="00C17C1E"/>
    <w:rsid w:val="00C22598"/>
    <w:rsid w:val="00C45CCF"/>
    <w:rsid w:val="00C57B4B"/>
    <w:rsid w:val="00CB298C"/>
    <w:rsid w:val="00CB5805"/>
    <w:rsid w:val="00CC55B0"/>
    <w:rsid w:val="00CD5345"/>
    <w:rsid w:val="00CF46DE"/>
    <w:rsid w:val="00D0392F"/>
    <w:rsid w:val="00D16E36"/>
    <w:rsid w:val="00D17586"/>
    <w:rsid w:val="00D30919"/>
    <w:rsid w:val="00D34B09"/>
    <w:rsid w:val="00D36016"/>
    <w:rsid w:val="00D47D46"/>
    <w:rsid w:val="00D5793F"/>
    <w:rsid w:val="00D64134"/>
    <w:rsid w:val="00D763A7"/>
    <w:rsid w:val="00D928C5"/>
    <w:rsid w:val="00D968BA"/>
    <w:rsid w:val="00DA3495"/>
    <w:rsid w:val="00DA72A6"/>
    <w:rsid w:val="00DB4519"/>
    <w:rsid w:val="00DC42FC"/>
    <w:rsid w:val="00E018A3"/>
    <w:rsid w:val="00E06623"/>
    <w:rsid w:val="00E22692"/>
    <w:rsid w:val="00E22B43"/>
    <w:rsid w:val="00E35CE2"/>
    <w:rsid w:val="00E4378F"/>
    <w:rsid w:val="00E43B09"/>
    <w:rsid w:val="00E87B20"/>
    <w:rsid w:val="00ED4BAC"/>
    <w:rsid w:val="00F00C59"/>
    <w:rsid w:val="00F0152F"/>
    <w:rsid w:val="00F109C3"/>
    <w:rsid w:val="00F24A3C"/>
    <w:rsid w:val="00F51DA6"/>
    <w:rsid w:val="00F56DD4"/>
    <w:rsid w:val="00F74F03"/>
    <w:rsid w:val="00F7522A"/>
    <w:rsid w:val="00F87B7C"/>
    <w:rsid w:val="00F947E8"/>
    <w:rsid w:val="00FE2565"/>
    <w:rsid w:val="00FE717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7F6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esteka">
    <w:name w:val="Hyperlink"/>
    <w:basedOn w:val="Paragrafoarenletra-tipolehenetsia"/>
    <w:uiPriority w:val="99"/>
    <w:unhideWhenUsed/>
    <w:rsid w:val="00237C97"/>
    <w:rPr>
      <w:color w:val="0000FF" w:themeColor="hyperlink"/>
      <w:u w:val="single"/>
    </w:rPr>
  </w:style>
  <w:style w:type="paragraph" w:styleId="Zerrenda-paragrafoa">
    <w:name w:val="List Paragraph"/>
    <w:basedOn w:val="Normala"/>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Gorputz-testua">
    <w:name w:val="Body Text"/>
    <w:basedOn w:val="Normala"/>
    <w:link w:val="Gorputz-testuaKar"/>
    <w:uiPriority w:val="1"/>
    <w:qFormat/>
    <w:rsid w:val="000B7A1A"/>
    <w:pPr>
      <w:widowControl w:val="0"/>
      <w:spacing w:after="0" w:line="240" w:lineRule="auto"/>
      <w:ind w:left="141"/>
    </w:pPr>
    <w:rPr>
      <w:rFonts w:ascii="Arial" w:eastAsia="Arial" w:hAnsi="Arial"/>
      <w:lang w:val="en-US"/>
    </w:rPr>
  </w:style>
  <w:style w:type="character" w:customStyle="1" w:styleId="Gorputz-testuaKar">
    <w:name w:val="Gorputz-testua Kar"/>
    <w:basedOn w:val="Paragrafoarenletra-tipolehenetsia"/>
    <w:link w:val="Gorputz-testua"/>
    <w:uiPriority w:val="1"/>
    <w:rsid w:val="000B7A1A"/>
    <w:rPr>
      <w:rFonts w:ascii="Arial" w:eastAsia="Arial" w:hAnsi="Arial"/>
      <w:lang w:val="en-US"/>
    </w:rPr>
  </w:style>
  <w:style w:type="paragraph" w:styleId="Goiburua">
    <w:name w:val="header"/>
    <w:basedOn w:val="Normala"/>
    <w:link w:val="GoiburuaKar"/>
    <w:uiPriority w:val="99"/>
    <w:unhideWhenUsed/>
    <w:rsid w:val="0080292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0292C"/>
  </w:style>
  <w:style w:type="paragraph" w:styleId="Orri-oina">
    <w:name w:val="footer"/>
    <w:basedOn w:val="Normala"/>
    <w:link w:val="Orri-oinaKar"/>
    <w:uiPriority w:val="99"/>
    <w:unhideWhenUsed/>
    <w:rsid w:val="0080292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0292C"/>
  </w:style>
  <w:style w:type="paragraph" w:styleId="Bunbuiloarentestua">
    <w:name w:val="Balloon Text"/>
    <w:basedOn w:val="Normala"/>
    <w:link w:val="BunbuiloarentestuaKar"/>
    <w:uiPriority w:val="99"/>
    <w:semiHidden/>
    <w:unhideWhenUsed/>
    <w:rsid w:val="001B3A1D"/>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B3A1D"/>
    <w:rPr>
      <w:rFonts w:ascii="Tahoma" w:hAnsi="Tahoma" w:cs="Tahoma"/>
      <w:sz w:val="16"/>
      <w:szCs w:val="16"/>
    </w:rPr>
  </w:style>
  <w:style w:type="table" w:styleId="Saretaduntaula">
    <w:name w:val="Table Grid"/>
    <w:basedOn w:val="Taulanormala"/>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ambria">
    <w:name w:val="Estilo Cambria"/>
    <w:rsid w:val="009A02B5"/>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13824C56685077438E0697D951552B91" ma:contentTypeVersion="12" ma:contentTypeDescription="Sortu dokumentu berri bat." ma:contentTypeScope="" ma:versionID="72c9eb7d7676e23147b61c1404915b71">
  <xsd:schema xmlns:xsd="http://www.w3.org/2001/XMLSchema" xmlns:xs="http://www.w3.org/2001/XMLSchema" xmlns:p="http://schemas.microsoft.com/office/2006/metadata/properties" xmlns:ns2="0d62390a-be3b-46cd-9b88-2591ad4c7779" xmlns:ns3="622679c0-bd55-434f-9177-fd8d9fd001c3" targetNamespace="http://schemas.microsoft.com/office/2006/metadata/properties" ma:root="true" ma:fieldsID="e591a25d3dcbb20c87669be901fbfe4d" ns2:_="" ns3:_="">
    <xsd:import namespace="0d62390a-be3b-46cd-9b88-2591ad4c7779"/>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390a-be3b-46cd-9b88-2591ad4c7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BBC54-092D-420B-A692-78FCB74C54F6}"/>
</file>

<file path=customXml/itemProps2.xml><?xml version="1.0" encoding="utf-8"?>
<ds:datastoreItem xmlns:ds="http://schemas.openxmlformats.org/officeDocument/2006/customXml" ds:itemID="{011E236B-C32B-4ACA-BD6C-91007598AEED}">
  <ds:schemaRefs>
    <ds:schemaRef ds:uri="http://purl.org/dc/elements/1.1/"/>
    <ds:schemaRef ds:uri="http://schemas.microsoft.com/office/2006/metadata/properties"/>
    <ds:schemaRef ds:uri="http://purl.org/dc/terms/"/>
    <ds:schemaRef ds:uri="622679c0-bd55-434f-9177-fd8d9fd001c3"/>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0d62390a-be3b-46cd-9b88-2591ad4c7779"/>
    <ds:schemaRef ds:uri="http://www.w3.org/XML/1998/namespace"/>
  </ds:schemaRefs>
</ds:datastoreItem>
</file>

<file path=customXml/itemProps3.xml><?xml version="1.0" encoding="utf-8"?>
<ds:datastoreItem xmlns:ds="http://schemas.openxmlformats.org/officeDocument/2006/customXml" ds:itemID="{B1466554-9754-42BE-A26B-A69CAC003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2833</Characters>
  <Application>Microsoft Office Word</Application>
  <DocSecurity>4</DocSecurity>
  <Lines>23</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2022-03-03T09:53:00Z</dcterms:created>
  <dcterms:modified xsi:type="dcterms:W3CDTF">2022-03-03T09:53:00Z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ies>
</file>